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0B5437">
      <w:pPr>
        <w:snapToGrid w:val="0"/>
        <w:spacing w:line="560" w:lineRule="exact"/>
        <w:jc w:val="center"/>
        <w:rPr>
          <w:rFonts w:ascii="Times New Roman" w:hAnsi="Times New Roman" w:eastAsia="方正小标宋简体" w:cs="Times New Roman"/>
          <w:sz w:val="32"/>
          <w:szCs w:val="32"/>
        </w:rPr>
      </w:pPr>
      <w:r>
        <w:rPr>
          <w:rFonts w:hint="eastAsia" w:ascii="方正小标宋简体" w:hAnsi="仿宋" w:eastAsia="方正小标宋简体" w:cs="??????"/>
          <w:color w:val="000000"/>
          <w:sz w:val="32"/>
          <w:szCs w:val="32"/>
        </w:rPr>
        <w:t>新乡市</w:t>
      </w:r>
      <w:bookmarkStart w:id="0" w:name="_GoBack"/>
      <w:bookmarkEnd w:id="0"/>
      <w:r>
        <w:rPr>
          <w:rFonts w:ascii="Times New Roman" w:hAnsi="Times New Roman" w:eastAsia="方正小标宋简体" w:cs="Times New Roman"/>
          <w:sz w:val="32"/>
          <w:szCs w:val="32"/>
        </w:rPr>
        <w:t>配装眼镜产品质量</w:t>
      </w:r>
      <w:r>
        <w:rPr>
          <w:rFonts w:hint="eastAsia" w:ascii="Times New Roman" w:hAnsi="Times New Roman" w:eastAsia="方正小标宋简体" w:cs="Times New Roman"/>
          <w:sz w:val="32"/>
          <w:szCs w:val="32"/>
          <w:lang w:val="en-US" w:eastAsia="zh-CN"/>
        </w:rPr>
        <w:t>x</w:t>
      </w:r>
      <w:r>
        <w:rPr>
          <w:rFonts w:ascii="Times New Roman" w:hAnsi="Times New Roman" w:eastAsia="方正小标宋简体" w:cs="Times New Roman"/>
          <w:sz w:val="32"/>
          <w:szCs w:val="32"/>
        </w:rPr>
        <w:t>监督抽查实施细则</w:t>
      </w:r>
    </w:p>
    <w:p w14:paraId="59BA66ED">
      <w:pPr>
        <w:snapToGrid w:val="0"/>
        <w:spacing w:line="560" w:lineRule="exact"/>
        <w:jc w:val="center"/>
        <w:rPr>
          <w:rFonts w:ascii="Times New Roman" w:hAnsi="Times New Roman" w:eastAsia="方正小标宋简体" w:cs="Times New Roman"/>
          <w:sz w:val="32"/>
          <w:szCs w:val="32"/>
        </w:rPr>
      </w:pPr>
      <w:r>
        <w:rPr>
          <w:rFonts w:ascii="Times New Roman" w:hAnsi="Times New Roman" w:eastAsia="方正小标宋简体" w:cs="Times New Roman"/>
          <w:sz w:val="32"/>
          <w:szCs w:val="32"/>
        </w:rPr>
        <w:t>（202</w:t>
      </w:r>
      <w:r>
        <w:rPr>
          <w:rFonts w:hint="eastAsia" w:ascii="Times New Roman" w:hAnsi="Times New Roman" w:eastAsia="方正小标宋简体" w:cs="Times New Roman"/>
          <w:sz w:val="32"/>
          <w:szCs w:val="32"/>
          <w:lang w:val="en-US" w:eastAsia="zh-CN"/>
        </w:rPr>
        <w:t>5</w:t>
      </w:r>
      <w:r>
        <w:rPr>
          <w:rFonts w:ascii="Times New Roman" w:hAnsi="Times New Roman" w:eastAsia="方正小标宋简体" w:cs="Times New Roman"/>
          <w:sz w:val="32"/>
          <w:szCs w:val="32"/>
        </w:rPr>
        <w:t>年版）</w:t>
      </w:r>
    </w:p>
    <w:p w14:paraId="37FD2798">
      <w:pPr>
        <w:spacing w:line="560" w:lineRule="exact"/>
        <w:ind w:firstLine="548" w:firstLineChars="200"/>
        <w:rPr>
          <w:rFonts w:ascii="Times New Roman" w:hAnsi="Times New Roman" w:eastAsia="仿宋_GB2312" w:cs="Times New Roman"/>
          <w:sz w:val="28"/>
          <w:szCs w:val="28"/>
        </w:rPr>
      </w:pPr>
    </w:p>
    <w:p w14:paraId="65900ABD">
      <w:pPr>
        <w:spacing w:line="560" w:lineRule="exact"/>
        <w:ind w:firstLine="548"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本细则适用</w:t>
      </w:r>
      <w:r>
        <w:rPr>
          <w:rFonts w:ascii="Times New Roman" w:hAnsi="Times New Roman" w:eastAsia="仿宋_GB2312" w:cs="Times New Roman"/>
          <w:sz w:val="28"/>
          <w:szCs w:val="28"/>
          <w:lang w:val="en"/>
        </w:rPr>
        <w:t>新乡市</w:t>
      </w:r>
      <w:r>
        <w:rPr>
          <w:rFonts w:ascii="Times New Roman" w:hAnsi="Times New Roman" w:eastAsia="仿宋_GB2312" w:cs="Times New Roman"/>
          <w:sz w:val="28"/>
          <w:szCs w:val="28"/>
        </w:rPr>
        <w:t>市场监督管理局组织的配装眼镜产品质量监督抽查。本细则规定了此产品的抽样方法、检验依据、检验项目、检验方法、判定原则等。</w:t>
      </w:r>
    </w:p>
    <w:p w14:paraId="4848372E">
      <w:pPr>
        <w:snapToGrid w:val="0"/>
        <w:spacing w:line="594" w:lineRule="exact"/>
        <w:ind w:firstLine="548" w:firstLineChars="200"/>
        <w:rPr>
          <w:rFonts w:ascii="Times New Roman" w:hAnsi="Times New Roman" w:eastAsia="黑体" w:cs="Times New Roman"/>
          <w:sz w:val="28"/>
          <w:szCs w:val="28"/>
        </w:rPr>
      </w:pPr>
      <w:r>
        <w:rPr>
          <w:rFonts w:ascii="Times New Roman" w:hAnsi="Times New Roman" w:eastAsia="黑体" w:cs="Times New Roman"/>
          <w:sz w:val="28"/>
          <w:szCs w:val="28"/>
        </w:rPr>
        <w:t>1 抽样方法</w:t>
      </w:r>
    </w:p>
    <w:p w14:paraId="0063696D">
      <w:pPr>
        <w:snapToGrid w:val="0"/>
        <w:spacing w:line="594" w:lineRule="exact"/>
        <w:ind w:firstLine="548"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以</w:t>
      </w:r>
      <w:r>
        <w:rPr>
          <w:rFonts w:ascii="Times New Roman" w:hAnsi="Times New Roman" w:eastAsia="仿宋_GB2312" w:cs="Times New Roman"/>
          <w:spacing w:val="-6"/>
          <w:sz w:val="28"/>
          <w:szCs w:val="28"/>
        </w:rPr>
        <w:t>随机抽样的方式在被抽样生产者、销售者的待销产品中抽取。</w:t>
      </w:r>
    </w:p>
    <w:p w14:paraId="7B9419D7">
      <w:pPr>
        <w:snapToGrid w:val="0"/>
        <w:spacing w:line="594" w:lineRule="exact"/>
        <w:ind w:firstLine="524" w:firstLineChars="200"/>
        <w:rPr>
          <w:rFonts w:ascii="Times New Roman" w:hAnsi="Times New Roman" w:eastAsia="仿宋_GB2312" w:cs="Times New Roman"/>
          <w:spacing w:val="-6"/>
          <w:sz w:val="28"/>
          <w:szCs w:val="28"/>
        </w:rPr>
      </w:pPr>
      <w:r>
        <w:rPr>
          <w:rFonts w:ascii="Times New Roman" w:hAnsi="Times New Roman" w:eastAsia="仿宋_GB2312" w:cs="Times New Roman"/>
          <w:spacing w:val="-6"/>
          <w:sz w:val="28"/>
          <w:szCs w:val="28"/>
        </w:rPr>
        <w:t>由于配装眼镜检验不是破坏性检验，产品的异议复检可以在同一样品上进行。在企业同意认可的情况下，抽样样品数量规定为1副，检验样品和复验样品为同一样品。</w:t>
      </w:r>
    </w:p>
    <w:p w14:paraId="3372F712">
      <w:pPr>
        <w:adjustRightInd w:val="0"/>
        <w:snapToGrid w:val="0"/>
        <w:spacing w:after="149" w:afterLines="50" w:line="560" w:lineRule="exact"/>
        <w:ind w:firstLine="548" w:firstLineChars="200"/>
        <w:jc w:val="center"/>
        <w:rPr>
          <w:rFonts w:ascii="Times New Roman" w:hAnsi="Times New Roman" w:eastAsia="仿宋_GB2312" w:cs="Times New Roman"/>
          <w:b/>
          <w:sz w:val="28"/>
          <w:szCs w:val="28"/>
        </w:rPr>
      </w:pPr>
      <w:r>
        <w:rPr>
          <w:rFonts w:ascii="Times New Roman" w:hAnsi="Times New Roman" w:eastAsia="仿宋_GB2312" w:cs="Times New Roman"/>
          <w:b/>
          <w:sz w:val="28"/>
          <w:szCs w:val="28"/>
        </w:rPr>
        <w:t>表1抽取样品数量</w:t>
      </w:r>
    </w:p>
    <w:tbl>
      <w:tblPr>
        <w:tblStyle w:val="8"/>
        <w:tblW w:w="89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2070"/>
        <w:gridCol w:w="1750"/>
        <w:gridCol w:w="2100"/>
        <w:gridCol w:w="2200"/>
      </w:tblGrid>
      <w:tr w14:paraId="1F230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0" w:type="dxa"/>
            <w:vAlign w:val="center"/>
          </w:tcPr>
          <w:p w14:paraId="0FEB40E7">
            <w:pPr>
              <w:jc w:val="center"/>
              <w:rPr>
                <w:rFonts w:ascii="Times New Roman" w:hAnsi="Times New Roman" w:eastAsia="仿宋_GB2312" w:cs="Times New Roman"/>
                <w:bCs/>
                <w:kern w:val="0"/>
                <w:sz w:val="22"/>
                <w:szCs w:val="28"/>
              </w:rPr>
            </w:pPr>
            <w:r>
              <w:rPr>
                <w:rFonts w:ascii="Times New Roman" w:hAnsi="Times New Roman" w:eastAsia="仿宋_GB2312" w:cs="Times New Roman"/>
                <w:bCs/>
                <w:kern w:val="0"/>
                <w:sz w:val="22"/>
                <w:szCs w:val="28"/>
              </w:rPr>
              <w:t>序号</w:t>
            </w:r>
          </w:p>
        </w:tc>
        <w:tc>
          <w:tcPr>
            <w:tcW w:w="2070" w:type="dxa"/>
            <w:vAlign w:val="center"/>
          </w:tcPr>
          <w:p w14:paraId="342E0F44">
            <w:pPr>
              <w:jc w:val="center"/>
              <w:rPr>
                <w:rFonts w:ascii="Times New Roman" w:hAnsi="Times New Roman" w:eastAsia="仿宋_GB2312" w:cs="Times New Roman"/>
                <w:bCs/>
                <w:kern w:val="0"/>
                <w:sz w:val="22"/>
                <w:szCs w:val="28"/>
              </w:rPr>
            </w:pPr>
            <w:r>
              <w:rPr>
                <w:rFonts w:ascii="Times New Roman" w:hAnsi="Times New Roman" w:eastAsia="仿宋_GB2312" w:cs="Times New Roman"/>
                <w:bCs/>
                <w:kern w:val="0"/>
                <w:sz w:val="22"/>
                <w:szCs w:val="28"/>
              </w:rPr>
              <w:t>产品种类</w:t>
            </w:r>
          </w:p>
        </w:tc>
        <w:tc>
          <w:tcPr>
            <w:tcW w:w="1750" w:type="dxa"/>
            <w:vAlign w:val="center"/>
          </w:tcPr>
          <w:p w14:paraId="09383275">
            <w:pPr>
              <w:jc w:val="center"/>
              <w:rPr>
                <w:rFonts w:ascii="Times New Roman" w:hAnsi="Times New Roman" w:eastAsia="仿宋_GB2312" w:cs="Times New Roman"/>
                <w:bCs/>
                <w:kern w:val="0"/>
                <w:sz w:val="22"/>
                <w:szCs w:val="28"/>
              </w:rPr>
            </w:pPr>
            <w:r>
              <w:rPr>
                <w:rFonts w:ascii="Times New Roman" w:hAnsi="Times New Roman" w:eastAsia="仿宋_GB2312" w:cs="Times New Roman"/>
                <w:bCs/>
                <w:kern w:val="0"/>
                <w:sz w:val="22"/>
                <w:szCs w:val="28"/>
              </w:rPr>
              <w:t>抽样数量（副）</w:t>
            </w:r>
          </w:p>
        </w:tc>
        <w:tc>
          <w:tcPr>
            <w:tcW w:w="2100" w:type="dxa"/>
            <w:vAlign w:val="center"/>
          </w:tcPr>
          <w:p w14:paraId="612C1104">
            <w:pPr>
              <w:jc w:val="center"/>
              <w:rPr>
                <w:rFonts w:ascii="Times New Roman" w:hAnsi="Times New Roman" w:eastAsia="仿宋_GB2312" w:cs="Times New Roman"/>
                <w:bCs/>
                <w:kern w:val="0"/>
                <w:sz w:val="22"/>
                <w:szCs w:val="28"/>
              </w:rPr>
            </w:pPr>
            <w:r>
              <w:rPr>
                <w:rFonts w:ascii="Times New Roman" w:hAnsi="Times New Roman" w:eastAsia="仿宋_GB2312" w:cs="Times New Roman"/>
                <w:sz w:val="22"/>
                <w:szCs w:val="28"/>
              </w:rPr>
              <w:t>检验样品数量</w:t>
            </w:r>
            <w:r>
              <w:rPr>
                <w:rFonts w:ascii="Times New Roman" w:hAnsi="Times New Roman" w:eastAsia="仿宋_GB2312" w:cs="Times New Roman"/>
                <w:bCs/>
                <w:kern w:val="0"/>
                <w:sz w:val="22"/>
                <w:szCs w:val="28"/>
              </w:rPr>
              <w:t>（副）</w:t>
            </w:r>
          </w:p>
        </w:tc>
        <w:tc>
          <w:tcPr>
            <w:tcW w:w="2200" w:type="dxa"/>
            <w:vAlign w:val="center"/>
          </w:tcPr>
          <w:p w14:paraId="49D33252">
            <w:pPr>
              <w:jc w:val="center"/>
              <w:rPr>
                <w:rFonts w:ascii="Times New Roman" w:hAnsi="Times New Roman" w:eastAsia="仿宋_GB2312" w:cs="Times New Roman"/>
                <w:bCs/>
                <w:kern w:val="0"/>
                <w:sz w:val="22"/>
                <w:szCs w:val="28"/>
              </w:rPr>
            </w:pPr>
            <w:r>
              <w:rPr>
                <w:rFonts w:ascii="Times New Roman" w:hAnsi="Times New Roman" w:eastAsia="仿宋_GB2312" w:cs="Times New Roman"/>
                <w:sz w:val="22"/>
                <w:szCs w:val="28"/>
              </w:rPr>
              <w:t>备用样品数量</w:t>
            </w:r>
            <w:r>
              <w:rPr>
                <w:rFonts w:ascii="Times New Roman" w:hAnsi="Times New Roman" w:eastAsia="仿宋_GB2312" w:cs="Times New Roman"/>
                <w:bCs/>
                <w:kern w:val="0"/>
                <w:sz w:val="22"/>
                <w:szCs w:val="28"/>
              </w:rPr>
              <w:t>（副）</w:t>
            </w:r>
          </w:p>
        </w:tc>
      </w:tr>
      <w:tr w14:paraId="36223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0" w:type="dxa"/>
            <w:vAlign w:val="center"/>
          </w:tcPr>
          <w:p w14:paraId="5CDC6040">
            <w:pPr>
              <w:adjustRightInd w:val="0"/>
              <w:jc w:val="center"/>
              <w:rPr>
                <w:rFonts w:ascii="Times New Roman" w:hAnsi="Times New Roman" w:eastAsia="仿宋_GB2312" w:cs="Times New Roman"/>
                <w:sz w:val="22"/>
                <w:szCs w:val="28"/>
              </w:rPr>
            </w:pPr>
            <w:r>
              <w:rPr>
                <w:rFonts w:ascii="Times New Roman" w:hAnsi="Times New Roman" w:eastAsia="仿宋_GB2312" w:cs="Times New Roman"/>
                <w:sz w:val="22"/>
                <w:szCs w:val="28"/>
              </w:rPr>
              <w:t>1</w:t>
            </w:r>
          </w:p>
        </w:tc>
        <w:tc>
          <w:tcPr>
            <w:tcW w:w="2070" w:type="dxa"/>
            <w:vAlign w:val="center"/>
          </w:tcPr>
          <w:p w14:paraId="57A4289E">
            <w:pPr>
              <w:adjustRightInd w:val="0"/>
              <w:jc w:val="center"/>
              <w:rPr>
                <w:rFonts w:ascii="Times New Roman" w:hAnsi="Times New Roman" w:eastAsia="仿宋_GB2312" w:cs="Times New Roman"/>
                <w:kern w:val="0"/>
                <w:sz w:val="22"/>
                <w:szCs w:val="28"/>
              </w:rPr>
            </w:pPr>
            <w:r>
              <w:rPr>
                <w:rFonts w:ascii="Times New Roman" w:hAnsi="Times New Roman" w:eastAsia="仿宋_GB2312" w:cs="Times New Roman"/>
                <w:sz w:val="22"/>
                <w:szCs w:val="28"/>
              </w:rPr>
              <w:t>配装眼镜</w:t>
            </w:r>
          </w:p>
        </w:tc>
        <w:tc>
          <w:tcPr>
            <w:tcW w:w="1750" w:type="dxa"/>
            <w:vAlign w:val="center"/>
          </w:tcPr>
          <w:p w14:paraId="165EB3F2">
            <w:pPr>
              <w:jc w:val="center"/>
              <w:rPr>
                <w:rFonts w:ascii="Times New Roman" w:hAnsi="Times New Roman" w:eastAsia="仿宋_GB2312" w:cs="Times New Roman"/>
                <w:kern w:val="0"/>
                <w:sz w:val="22"/>
                <w:szCs w:val="28"/>
              </w:rPr>
            </w:pPr>
            <w:r>
              <w:rPr>
                <w:rFonts w:ascii="Times New Roman" w:hAnsi="Times New Roman" w:eastAsia="仿宋_GB2312" w:cs="Times New Roman"/>
                <w:kern w:val="0"/>
                <w:sz w:val="22"/>
                <w:szCs w:val="28"/>
              </w:rPr>
              <w:t>1</w:t>
            </w:r>
          </w:p>
        </w:tc>
        <w:tc>
          <w:tcPr>
            <w:tcW w:w="2100" w:type="dxa"/>
            <w:vAlign w:val="center"/>
          </w:tcPr>
          <w:p w14:paraId="609B08AD">
            <w:pPr>
              <w:jc w:val="center"/>
              <w:rPr>
                <w:rFonts w:ascii="Times New Roman" w:hAnsi="Times New Roman" w:eastAsia="仿宋_GB2312" w:cs="Times New Roman"/>
                <w:kern w:val="0"/>
                <w:sz w:val="22"/>
                <w:szCs w:val="28"/>
              </w:rPr>
            </w:pPr>
            <w:r>
              <w:rPr>
                <w:rFonts w:ascii="Times New Roman" w:hAnsi="Times New Roman" w:eastAsia="仿宋_GB2312" w:cs="Times New Roman"/>
                <w:kern w:val="0"/>
                <w:sz w:val="22"/>
                <w:szCs w:val="28"/>
              </w:rPr>
              <w:t>1</w:t>
            </w:r>
          </w:p>
        </w:tc>
        <w:tc>
          <w:tcPr>
            <w:tcW w:w="2200" w:type="dxa"/>
            <w:vAlign w:val="center"/>
          </w:tcPr>
          <w:p w14:paraId="7FA2A4F9">
            <w:pPr>
              <w:jc w:val="center"/>
              <w:rPr>
                <w:rFonts w:ascii="Times New Roman" w:hAnsi="Times New Roman" w:eastAsia="仿宋_GB2312" w:cs="Times New Roman"/>
                <w:kern w:val="0"/>
                <w:sz w:val="22"/>
                <w:szCs w:val="28"/>
              </w:rPr>
            </w:pPr>
            <w:r>
              <w:rPr>
                <w:rFonts w:hint="eastAsia" w:ascii="Times New Roman" w:hAnsi="Times New Roman" w:eastAsia="仿宋_GB2312" w:cs="Times New Roman"/>
                <w:kern w:val="0"/>
                <w:sz w:val="22"/>
                <w:szCs w:val="28"/>
              </w:rPr>
              <w:t>/</w:t>
            </w:r>
          </w:p>
        </w:tc>
      </w:tr>
    </w:tbl>
    <w:p w14:paraId="2608CCC2">
      <w:pPr>
        <w:snapToGrid w:val="0"/>
        <w:spacing w:line="594" w:lineRule="exact"/>
        <w:ind w:firstLine="548" w:firstLineChars="200"/>
        <w:rPr>
          <w:rFonts w:ascii="Times New Roman" w:hAnsi="Times New Roman" w:eastAsia="黑体" w:cs="Times New Roman"/>
          <w:sz w:val="28"/>
          <w:szCs w:val="28"/>
        </w:rPr>
      </w:pPr>
      <w:r>
        <w:rPr>
          <w:rFonts w:ascii="Times New Roman" w:hAnsi="Times New Roman" w:eastAsia="黑体" w:cs="Times New Roman"/>
          <w:sz w:val="28"/>
          <w:szCs w:val="28"/>
        </w:rPr>
        <w:t>2 检验依据</w:t>
      </w:r>
    </w:p>
    <w:p w14:paraId="3E4F780D">
      <w:pPr>
        <w:adjustRightInd w:val="0"/>
        <w:snapToGrid w:val="0"/>
        <w:spacing w:after="149" w:afterLines="50" w:line="560" w:lineRule="exact"/>
        <w:ind w:firstLine="548" w:firstLineChars="200"/>
        <w:jc w:val="center"/>
        <w:rPr>
          <w:rFonts w:ascii="Times New Roman" w:hAnsi="Times New Roman" w:eastAsia="仿宋_GB2312" w:cs="Times New Roman"/>
          <w:b/>
          <w:sz w:val="28"/>
          <w:szCs w:val="28"/>
        </w:rPr>
      </w:pPr>
      <w:r>
        <w:rPr>
          <w:rFonts w:ascii="Times New Roman" w:hAnsi="Times New Roman" w:eastAsia="仿宋_GB2312" w:cs="Times New Roman"/>
          <w:b/>
          <w:sz w:val="28"/>
          <w:szCs w:val="28"/>
        </w:rPr>
        <w:t>表2 配装眼镜</w:t>
      </w:r>
    </w:p>
    <w:tbl>
      <w:tblPr>
        <w:tblStyle w:val="8"/>
        <w:tblW w:w="8660"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3960"/>
        <w:gridCol w:w="3970"/>
      </w:tblGrid>
      <w:tr w14:paraId="07B53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730" w:type="dxa"/>
          </w:tcPr>
          <w:p w14:paraId="4827F405">
            <w:pPr>
              <w:pStyle w:val="22"/>
              <w:adjustRightInd w:val="0"/>
              <w:snapToGrid w:val="0"/>
              <w:jc w:val="center"/>
              <w:rPr>
                <w:rFonts w:ascii="Times New Roman" w:hAnsi="Times New Roman" w:eastAsia="仿宋_GB2312" w:cs="Times New Roman"/>
                <w:sz w:val="22"/>
                <w:szCs w:val="22"/>
              </w:rPr>
            </w:pPr>
            <w:r>
              <w:rPr>
                <w:rFonts w:ascii="Times New Roman" w:hAnsi="Times New Roman" w:eastAsia="仿宋_GB2312" w:cs="Times New Roman"/>
                <w:sz w:val="22"/>
                <w:szCs w:val="22"/>
              </w:rPr>
              <w:t>序号</w:t>
            </w:r>
          </w:p>
        </w:tc>
        <w:tc>
          <w:tcPr>
            <w:tcW w:w="3960" w:type="dxa"/>
          </w:tcPr>
          <w:p w14:paraId="2C4F6E9B">
            <w:pPr>
              <w:pStyle w:val="22"/>
              <w:adjustRightInd w:val="0"/>
              <w:snapToGrid w:val="0"/>
              <w:jc w:val="center"/>
              <w:rPr>
                <w:rFonts w:ascii="Times New Roman" w:hAnsi="Times New Roman" w:eastAsia="仿宋_GB2312" w:cs="Times New Roman"/>
                <w:sz w:val="22"/>
                <w:szCs w:val="22"/>
              </w:rPr>
            </w:pPr>
            <w:r>
              <w:rPr>
                <w:rFonts w:ascii="Times New Roman" w:hAnsi="Times New Roman" w:eastAsia="仿宋_GB2312" w:cs="Times New Roman"/>
                <w:sz w:val="22"/>
                <w:szCs w:val="22"/>
              </w:rPr>
              <w:t>检验项目</w:t>
            </w:r>
          </w:p>
        </w:tc>
        <w:tc>
          <w:tcPr>
            <w:tcW w:w="3970" w:type="dxa"/>
          </w:tcPr>
          <w:p w14:paraId="45137A9A">
            <w:pPr>
              <w:pStyle w:val="22"/>
              <w:adjustRightInd w:val="0"/>
              <w:snapToGrid w:val="0"/>
              <w:jc w:val="center"/>
              <w:rPr>
                <w:rFonts w:ascii="Times New Roman" w:hAnsi="Times New Roman" w:eastAsia="仿宋_GB2312" w:cs="Times New Roman"/>
                <w:sz w:val="22"/>
                <w:szCs w:val="22"/>
              </w:rPr>
            </w:pPr>
            <w:r>
              <w:rPr>
                <w:rFonts w:ascii="Times New Roman" w:hAnsi="Times New Roman" w:eastAsia="仿宋_GB2312" w:cs="Times New Roman"/>
                <w:sz w:val="22"/>
                <w:szCs w:val="22"/>
              </w:rPr>
              <w:t>检验方法</w:t>
            </w:r>
          </w:p>
        </w:tc>
      </w:tr>
      <w:tr w14:paraId="46603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730" w:type="dxa"/>
            <w:vAlign w:val="center"/>
          </w:tcPr>
          <w:p w14:paraId="43EC1D7B">
            <w:pPr>
              <w:pStyle w:val="22"/>
              <w:adjustRightInd w:val="0"/>
              <w:snapToGrid w:val="0"/>
              <w:jc w:val="center"/>
              <w:rPr>
                <w:rFonts w:ascii="Times New Roman" w:hAnsi="Times New Roman" w:eastAsia="仿宋_GB2312" w:cs="Times New Roman"/>
                <w:sz w:val="22"/>
                <w:szCs w:val="22"/>
              </w:rPr>
            </w:pPr>
            <w:r>
              <w:rPr>
                <w:rFonts w:ascii="Times New Roman" w:hAnsi="Times New Roman" w:eastAsia="仿宋_GB2312" w:cs="Times New Roman"/>
                <w:sz w:val="22"/>
                <w:szCs w:val="22"/>
              </w:rPr>
              <w:t>1</w:t>
            </w:r>
          </w:p>
        </w:tc>
        <w:tc>
          <w:tcPr>
            <w:tcW w:w="3960" w:type="dxa"/>
            <w:vAlign w:val="center"/>
          </w:tcPr>
          <w:p w14:paraId="01143535">
            <w:pPr>
              <w:pStyle w:val="22"/>
              <w:adjustRightInd w:val="0"/>
              <w:snapToGrid w:val="0"/>
              <w:jc w:val="center"/>
              <w:rPr>
                <w:rFonts w:ascii="Times New Roman" w:hAnsi="Times New Roman" w:eastAsia="仿宋_GB2312" w:cs="Times New Roman"/>
                <w:sz w:val="22"/>
                <w:szCs w:val="22"/>
              </w:rPr>
            </w:pPr>
            <w:r>
              <w:rPr>
                <w:rFonts w:ascii="Times New Roman" w:hAnsi="Times New Roman" w:eastAsia="仿宋_GB2312" w:cs="Times New Roman"/>
                <w:sz w:val="22"/>
                <w:szCs w:val="22"/>
              </w:rPr>
              <w:t>球镜顶焦度偏差（D）</w:t>
            </w:r>
          </w:p>
        </w:tc>
        <w:tc>
          <w:tcPr>
            <w:tcW w:w="3970" w:type="dxa"/>
            <w:vAlign w:val="center"/>
          </w:tcPr>
          <w:p w14:paraId="50492DF0">
            <w:pPr>
              <w:pStyle w:val="22"/>
              <w:adjustRightInd w:val="0"/>
              <w:snapToGrid w:val="0"/>
              <w:jc w:val="center"/>
              <w:rPr>
                <w:rFonts w:ascii="Times New Roman" w:hAnsi="Times New Roman" w:eastAsia="仿宋_GB2312" w:cs="Times New Roman"/>
                <w:sz w:val="22"/>
                <w:szCs w:val="22"/>
              </w:rPr>
            </w:pPr>
            <w:r>
              <w:rPr>
                <w:rFonts w:ascii="Times New Roman" w:hAnsi="Times New Roman" w:eastAsia="仿宋_GB2312" w:cs="Times New Roman"/>
                <w:sz w:val="22"/>
                <w:szCs w:val="22"/>
              </w:rPr>
              <w:t>GB10810.1-2005</w:t>
            </w:r>
          </w:p>
        </w:tc>
      </w:tr>
      <w:tr w14:paraId="5AB2F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30" w:type="dxa"/>
            <w:vAlign w:val="center"/>
          </w:tcPr>
          <w:p w14:paraId="425C69B1">
            <w:pPr>
              <w:pStyle w:val="22"/>
              <w:adjustRightInd w:val="0"/>
              <w:snapToGrid w:val="0"/>
              <w:jc w:val="center"/>
              <w:rPr>
                <w:rFonts w:ascii="Times New Roman" w:hAnsi="Times New Roman" w:eastAsia="仿宋_GB2312" w:cs="Times New Roman"/>
                <w:sz w:val="22"/>
                <w:szCs w:val="22"/>
              </w:rPr>
            </w:pPr>
            <w:r>
              <w:rPr>
                <w:rFonts w:ascii="Times New Roman" w:hAnsi="Times New Roman" w:eastAsia="仿宋_GB2312" w:cs="Times New Roman"/>
                <w:sz w:val="22"/>
                <w:szCs w:val="22"/>
              </w:rPr>
              <w:t>2</w:t>
            </w:r>
          </w:p>
        </w:tc>
        <w:tc>
          <w:tcPr>
            <w:tcW w:w="3960" w:type="dxa"/>
            <w:vAlign w:val="center"/>
          </w:tcPr>
          <w:p w14:paraId="47C83E41">
            <w:pPr>
              <w:pStyle w:val="22"/>
              <w:adjustRightInd w:val="0"/>
              <w:snapToGrid w:val="0"/>
              <w:jc w:val="center"/>
              <w:rPr>
                <w:rFonts w:ascii="Times New Roman" w:hAnsi="Times New Roman" w:eastAsia="仿宋_GB2312" w:cs="Times New Roman"/>
                <w:sz w:val="22"/>
                <w:szCs w:val="22"/>
              </w:rPr>
            </w:pPr>
            <w:r>
              <w:rPr>
                <w:rFonts w:ascii="Times New Roman" w:hAnsi="Times New Roman" w:eastAsia="仿宋_GB2312" w:cs="Times New Roman"/>
                <w:sz w:val="22"/>
                <w:szCs w:val="22"/>
              </w:rPr>
              <w:t>柱镜顶焦度偏差（D）</w:t>
            </w:r>
          </w:p>
        </w:tc>
        <w:tc>
          <w:tcPr>
            <w:tcW w:w="3970" w:type="dxa"/>
            <w:vAlign w:val="center"/>
          </w:tcPr>
          <w:p w14:paraId="40A6A3B3">
            <w:pPr>
              <w:pStyle w:val="22"/>
              <w:adjustRightInd w:val="0"/>
              <w:snapToGrid w:val="0"/>
              <w:jc w:val="center"/>
              <w:rPr>
                <w:rFonts w:ascii="Times New Roman" w:hAnsi="Times New Roman" w:eastAsia="仿宋_GB2312" w:cs="Times New Roman"/>
                <w:sz w:val="22"/>
                <w:szCs w:val="22"/>
              </w:rPr>
            </w:pPr>
            <w:r>
              <w:rPr>
                <w:rFonts w:ascii="Times New Roman" w:hAnsi="Times New Roman" w:eastAsia="仿宋_GB2312" w:cs="Times New Roman"/>
                <w:sz w:val="22"/>
                <w:szCs w:val="22"/>
              </w:rPr>
              <w:t>GB10810.1-2005</w:t>
            </w:r>
          </w:p>
        </w:tc>
      </w:tr>
      <w:tr w14:paraId="02A21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730" w:type="dxa"/>
            <w:vAlign w:val="center"/>
          </w:tcPr>
          <w:p w14:paraId="34090896">
            <w:pPr>
              <w:pStyle w:val="22"/>
              <w:adjustRightInd w:val="0"/>
              <w:snapToGrid w:val="0"/>
              <w:jc w:val="center"/>
              <w:rPr>
                <w:rFonts w:ascii="Times New Roman" w:hAnsi="Times New Roman" w:eastAsia="仿宋_GB2312" w:cs="Times New Roman"/>
                <w:sz w:val="22"/>
                <w:szCs w:val="22"/>
              </w:rPr>
            </w:pPr>
            <w:r>
              <w:rPr>
                <w:rFonts w:ascii="Times New Roman" w:hAnsi="Times New Roman" w:eastAsia="仿宋_GB2312" w:cs="Times New Roman"/>
                <w:sz w:val="22"/>
                <w:szCs w:val="22"/>
              </w:rPr>
              <w:t>3</w:t>
            </w:r>
          </w:p>
        </w:tc>
        <w:tc>
          <w:tcPr>
            <w:tcW w:w="3960" w:type="dxa"/>
            <w:vAlign w:val="center"/>
          </w:tcPr>
          <w:p w14:paraId="451C7E39">
            <w:pPr>
              <w:pStyle w:val="22"/>
              <w:adjustRightInd w:val="0"/>
              <w:snapToGrid w:val="0"/>
              <w:jc w:val="center"/>
              <w:rPr>
                <w:rFonts w:ascii="Times New Roman" w:hAnsi="Times New Roman" w:eastAsia="仿宋_GB2312" w:cs="Times New Roman"/>
                <w:sz w:val="22"/>
                <w:szCs w:val="22"/>
              </w:rPr>
            </w:pPr>
            <w:r>
              <w:rPr>
                <w:rFonts w:ascii="Times New Roman" w:hAnsi="Times New Roman" w:eastAsia="仿宋_GB2312" w:cs="Times New Roman"/>
                <w:sz w:val="22"/>
                <w:szCs w:val="22"/>
              </w:rPr>
              <w:t xml:space="preserve">柱镜轴位偏差( </w:t>
            </w:r>
            <w:r>
              <w:rPr>
                <w:rFonts w:ascii="Times New Roman" w:hAnsi="Times New Roman" w:eastAsia="仿宋_GB2312" w:cs="Times New Roman"/>
                <w:sz w:val="22"/>
                <w:szCs w:val="22"/>
              </w:rPr>
              <w:sym w:font="Symbol" w:char="F0B0"/>
            </w:r>
            <w:r>
              <w:rPr>
                <w:rFonts w:ascii="Times New Roman" w:hAnsi="Times New Roman" w:eastAsia="仿宋_GB2312" w:cs="Times New Roman"/>
                <w:sz w:val="22"/>
                <w:szCs w:val="22"/>
              </w:rPr>
              <w:t xml:space="preserve"> )</w:t>
            </w:r>
          </w:p>
        </w:tc>
        <w:tc>
          <w:tcPr>
            <w:tcW w:w="3970" w:type="dxa"/>
            <w:vAlign w:val="center"/>
          </w:tcPr>
          <w:p w14:paraId="34B96880">
            <w:pPr>
              <w:pStyle w:val="22"/>
              <w:adjustRightInd w:val="0"/>
              <w:snapToGrid w:val="0"/>
              <w:jc w:val="center"/>
              <w:rPr>
                <w:rFonts w:ascii="Times New Roman" w:hAnsi="Times New Roman" w:eastAsia="仿宋_GB2312" w:cs="Times New Roman"/>
                <w:sz w:val="22"/>
                <w:szCs w:val="22"/>
              </w:rPr>
            </w:pPr>
            <w:r>
              <w:rPr>
                <w:rFonts w:ascii="Times New Roman" w:hAnsi="Times New Roman" w:eastAsia="仿宋_GB2312" w:cs="Times New Roman"/>
                <w:sz w:val="22"/>
                <w:szCs w:val="22"/>
              </w:rPr>
              <w:t>GB13511.1 -2011</w:t>
            </w:r>
          </w:p>
        </w:tc>
      </w:tr>
      <w:tr w14:paraId="4B08A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730" w:type="dxa"/>
            <w:vAlign w:val="center"/>
          </w:tcPr>
          <w:p w14:paraId="21F35536">
            <w:pPr>
              <w:pStyle w:val="22"/>
              <w:adjustRightInd w:val="0"/>
              <w:snapToGrid w:val="0"/>
              <w:jc w:val="center"/>
              <w:rPr>
                <w:rFonts w:ascii="Times New Roman" w:hAnsi="Times New Roman" w:eastAsia="仿宋_GB2312" w:cs="Times New Roman"/>
                <w:sz w:val="22"/>
                <w:szCs w:val="22"/>
                <w:lang w:val="en"/>
              </w:rPr>
            </w:pPr>
            <w:r>
              <w:rPr>
                <w:rFonts w:ascii="Times New Roman" w:hAnsi="Times New Roman" w:eastAsia="仿宋_GB2312" w:cs="Times New Roman"/>
                <w:sz w:val="22"/>
                <w:szCs w:val="22"/>
                <w:lang w:val="en"/>
              </w:rPr>
              <w:t>4</w:t>
            </w:r>
          </w:p>
        </w:tc>
        <w:tc>
          <w:tcPr>
            <w:tcW w:w="3960" w:type="dxa"/>
            <w:vAlign w:val="center"/>
          </w:tcPr>
          <w:p w14:paraId="34BF059F">
            <w:pPr>
              <w:pStyle w:val="22"/>
              <w:adjustRightInd w:val="0"/>
              <w:snapToGrid w:val="0"/>
              <w:jc w:val="center"/>
              <w:rPr>
                <w:rFonts w:ascii="Times New Roman" w:hAnsi="Times New Roman" w:eastAsia="仿宋_GB2312" w:cs="Times New Roman"/>
                <w:sz w:val="22"/>
                <w:szCs w:val="22"/>
              </w:rPr>
            </w:pPr>
            <w:r>
              <w:rPr>
                <w:rFonts w:ascii="Times New Roman" w:hAnsi="Times New Roman" w:eastAsia="仿宋_GB2312" w:cs="Times New Roman"/>
                <w:sz w:val="22"/>
                <w:szCs w:val="22"/>
              </w:rPr>
              <w:t>光学中心水平距离偏差(mm)</w:t>
            </w:r>
          </w:p>
        </w:tc>
        <w:tc>
          <w:tcPr>
            <w:tcW w:w="3970" w:type="dxa"/>
            <w:vAlign w:val="center"/>
          </w:tcPr>
          <w:p w14:paraId="622D4533">
            <w:pPr>
              <w:pStyle w:val="22"/>
              <w:adjustRightInd w:val="0"/>
              <w:snapToGrid w:val="0"/>
              <w:jc w:val="center"/>
              <w:rPr>
                <w:rFonts w:ascii="Times New Roman" w:hAnsi="Times New Roman" w:eastAsia="仿宋_GB2312" w:cs="Times New Roman"/>
                <w:sz w:val="22"/>
                <w:szCs w:val="22"/>
              </w:rPr>
            </w:pPr>
            <w:r>
              <w:rPr>
                <w:rFonts w:ascii="Times New Roman" w:hAnsi="Times New Roman" w:eastAsia="仿宋_GB2312" w:cs="Times New Roman"/>
                <w:sz w:val="22"/>
                <w:szCs w:val="22"/>
              </w:rPr>
              <w:t>GB13511.1-2011</w:t>
            </w:r>
          </w:p>
        </w:tc>
      </w:tr>
      <w:tr w14:paraId="3C1BD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730" w:type="dxa"/>
            <w:vAlign w:val="center"/>
          </w:tcPr>
          <w:p w14:paraId="22127B5A">
            <w:pPr>
              <w:pStyle w:val="22"/>
              <w:adjustRightInd w:val="0"/>
              <w:snapToGrid w:val="0"/>
              <w:jc w:val="center"/>
              <w:rPr>
                <w:rFonts w:ascii="Times New Roman" w:hAnsi="Times New Roman" w:eastAsia="仿宋_GB2312" w:cs="Times New Roman"/>
                <w:sz w:val="22"/>
                <w:szCs w:val="22"/>
                <w:lang w:val="en"/>
              </w:rPr>
            </w:pPr>
            <w:r>
              <w:rPr>
                <w:rFonts w:ascii="Times New Roman" w:hAnsi="Times New Roman" w:eastAsia="仿宋_GB2312" w:cs="Times New Roman"/>
                <w:sz w:val="22"/>
                <w:szCs w:val="22"/>
                <w:lang w:val="en"/>
              </w:rPr>
              <w:t>5</w:t>
            </w:r>
          </w:p>
        </w:tc>
        <w:tc>
          <w:tcPr>
            <w:tcW w:w="3960" w:type="dxa"/>
            <w:vAlign w:val="center"/>
          </w:tcPr>
          <w:p w14:paraId="3E0577B7">
            <w:pPr>
              <w:pStyle w:val="22"/>
              <w:adjustRightInd w:val="0"/>
              <w:snapToGrid w:val="0"/>
              <w:jc w:val="center"/>
              <w:rPr>
                <w:rFonts w:ascii="Times New Roman" w:hAnsi="Times New Roman" w:eastAsia="仿宋_GB2312" w:cs="Times New Roman"/>
                <w:sz w:val="22"/>
                <w:szCs w:val="22"/>
              </w:rPr>
            </w:pPr>
            <w:r>
              <w:rPr>
                <w:rFonts w:ascii="Times New Roman" w:hAnsi="Times New Roman" w:eastAsia="仿宋_GB2312" w:cs="Times New Roman"/>
                <w:sz w:val="22"/>
                <w:szCs w:val="22"/>
              </w:rPr>
              <w:t>光学中心垂直互差(mm)</w:t>
            </w:r>
          </w:p>
        </w:tc>
        <w:tc>
          <w:tcPr>
            <w:tcW w:w="3970" w:type="dxa"/>
            <w:vAlign w:val="center"/>
          </w:tcPr>
          <w:p w14:paraId="47269BCA">
            <w:pPr>
              <w:pStyle w:val="22"/>
              <w:adjustRightInd w:val="0"/>
              <w:snapToGrid w:val="0"/>
              <w:jc w:val="center"/>
              <w:rPr>
                <w:rFonts w:ascii="Times New Roman" w:hAnsi="Times New Roman" w:eastAsia="仿宋_GB2312" w:cs="Times New Roman"/>
                <w:sz w:val="22"/>
                <w:szCs w:val="22"/>
              </w:rPr>
            </w:pPr>
            <w:r>
              <w:rPr>
                <w:rFonts w:ascii="Times New Roman" w:hAnsi="Times New Roman" w:eastAsia="仿宋_GB2312" w:cs="Times New Roman"/>
                <w:sz w:val="22"/>
                <w:szCs w:val="22"/>
              </w:rPr>
              <w:t>GB13511.1-2011</w:t>
            </w:r>
          </w:p>
        </w:tc>
      </w:tr>
      <w:tr w14:paraId="51BF9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0" w:type="dxa"/>
            <w:vAlign w:val="center"/>
          </w:tcPr>
          <w:p w14:paraId="14E2FBE8">
            <w:pPr>
              <w:pStyle w:val="22"/>
              <w:adjustRightInd w:val="0"/>
              <w:snapToGrid w:val="0"/>
              <w:jc w:val="center"/>
              <w:rPr>
                <w:rFonts w:ascii="Times New Roman" w:hAnsi="Times New Roman" w:eastAsia="仿宋_GB2312" w:cs="Times New Roman"/>
                <w:sz w:val="22"/>
                <w:szCs w:val="22"/>
                <w:lang w:val="en"/>
              </w:rPr>
            </w:pPr>
            <w:r>
              <w:rPr>
                <w:rFonts w:ascii="Times New Roman" w:hAnsi="Times New Roman" w:eastAsia="仿宋_GB2312" w:cs="Times New Roman"/>
                <w:sz w:val="22"/>
                <w:szCs w:val="22"/>
                <w:lang w:val="en"/>
              </w:rPr>
              <w:t>6</w:t>
            </w:r>
          </w:p>
        </w:tc>
        <w:tc>
          <w:tcPr>
            <w:tcW w:w="3960" w:type="dxa"/>
            <w:vAlign w:val="center"/>
          </w:tcPr>
          <w:p w14:paraId="3BA9D5B0">
            <w:pPr>
              <w:pStyle w:val="22"/>
              <w:adjustRightInd w:val="0"/>
              <w:snapToGrid w:val="0"/>
              <w:jc w:val="center"/>
              <w:rPr>
                <w:rFonts w:ascii="Times New Roman" w:hAnsi="Times New Roman" w:eastAsia="仿宋_GB2312" w:cs="Times New Roman"/>
                <w:sz w:val="22"/>
                <w:szCs w:val="22"/>
              </w:rPr>
            </w:pPr>
            <w:r>
              <w:rPr>
                <w:rFonts w:ascii="Times New Roman" w:hAnsi="Times New Roman" w:eastAsia="仿宋_GB2312" w:cs="Times New Roman"/>
                <w:sz w:val="22"/>
                <w:szCs w:val="22"/>
              </w:rPr>
              <w:t>水平光学中心与眼瞳的单侧偏差</w:t>
            </w:r>
          </w:p>
        </w:tc>
        <w:tc>
          <w:tcPr>
            <w:tcW w:w="3970" w:type="dxa"/>
            <w:vAlign w:val="center"/>
          </w:tcPr>
          <w:p w14:paraId="25AD6A36">
            <w:pPr>
              <w:pStyle w:val="22"/>
              <w:adjustRightInd w:val="0"/>
              <w:snapToGrid w:val="0"/>
              <w:jc w:val="center"/>
              <w:rPr>
                <w:rFonts w:ascii="Times New Roman" w:hAnsi="Times New Roman" w:eastAsia="仿宋_GB2312" w:cs="Times New Roman"/>
                <w:sz w:val="22"/>
                <w:szCs w:val="22"/>
              </w:rPr>
            </w:pPr>
            <w:r>
              <w:rPr>
                <w:rFonts w:ascii="Times New Roman" w:hAnsi="Times New Roman" w:eastAsia="仿宋_GB2312" w:cs="Times New Roman"/>
                <w:sz w:val="22"/>
                <w:szCs w:val="22"/>
              </w:rPr>
              <w:t>GB13511.1-2011</w:t>
            </w:r>
          </w:p>
        </w:tc>
      </w:tr>
      <w:tr w14:paraId="0E095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rPr>
        <w:tc>
          <w:tcPr>
            <w:tcW w:w="730" w:type="dxa"/>
            <w:vAlign w:val="center"/>
          </w:tcPr>
          <w:p w14:paraId="62AB957A">
            <w:pPr>
              <w:pStyle w:val="22"/>
              <w:adjustRightInd w:val="0"/>
              <w:snapToGrid w:val="0"/>
              <w:jc w:val="center"/>
              <w:rPr>
                <w:rFonts w:ascii="Times New Roman" w:hAnsi="Times New Roman" w:eastAsia="仿宋_GB2312" w:cs="Times New Roman"/>
                <w:sz w:val="22"/>
                <w:szCs w:val="22"/>
                <w:lang w:val="en"/>
              </w:rPr>
            </w:pPr>
            <w:r>
              <w:rPr>
                <w:rFonts w:ascii="Times New Roman" w:hAnsi="Times New Roman" w:eastAsia="仿宋_GB2312" w:cs="Times New Roman"/>
                <w:sz w:val="22"/>
                <w:szCs w:val="22"/>
                <w:lang w:val="en"/>
              </w:rPr>
              <w:t>7</w:t>
            </w:r>
          </w:p>
        </w:tc>
        <w:tc>
          <w:tcPr>
            <w:tcW w:w="3960" w:type="dxa"/>
            <w:vAlign w:val="center"/>
          </w:tcPr>
          <w:p w14:paraId="1862DE0A">
            <w:pPr>
              <w:pStyle w:val="22"/>
              <w:adjustRightInd w:val="0"/>
              <w:snapToGrid w:val="0"/>
              <w:jc w:val="center"/>
              <w:rPr>
                <w:rFonts w:ascii="Times New Roman" w:hAnsi="Times New Roman" w:eastAsia="仿宋_GB2312" w:cs="Times New Roman"/>
                <w:sz w:val="22"/>
                <w:szCs w:val="22"/>
              </w:rPr>
            </w:pPr>
            <w:r>
              <w:rPr>
                <w:rFonts w:ascii="Times New Roman" w:hAnsi="Times New Roman" w:eastAsia="仿宋_GB2312" w:cs="Times New Roman"/>
                <w:sz w:val="22"/>
                <w:szCs w:val="22"/>
              </w:rPr>
              <w:t>装配质量</w:t>
            </w:r>
          </w:p>
        </w:tc>
        <w:tc>
          <w:tcPr>
            <w:tcW w:w="3970" w:type="dxa"/>
            <w:vAlign w:val="center"/>
          </w:tcPr>
          <w:p w14:paraId="3DA086C3">
            <w:pPr>
              <w:pStyle w:val="22"/>
              <w:adjustRightInd w:val="0"/>
              <w:snapToGrid w:val="0"/>
              <w:jc w:val="center"/>
              <w:rPr>
                <w:rFonts w:ascii="Times New Roman" w:hAnsi="Times New Roman" w:eastAsia="仿宋_GB2312" w:cs="Times New Roman"/>
                <w:sz w:val="22"/>
                <w:szCs w:val="22"/>
              </w:rPr>
            </w:pPr>
            <w:r>
              <w:rPr>
                <w:rFonts w:ascii="Times New Roman" w:hAnsi="Times New Roman" w:eastAsia="仿宋_GB2312" w:cs="Times New Roman"/>
                <w:sz w:val="22"/>
                <w:szCs w:val="22"/>
              </w:rPr>
              <w:t>GB13511.1-2011</w:t>
            </w:r>
          </w:p>
        </w:tc>
      </w:tr>
    </w:tbl>
    <w:p w14:paraId="521B30AB">
      <w:pPr>
        <w:adjustRightInd w:val="0"/>
        <w:snapToGrid w:val="0"/>
        <w:spacing w:line="560" w:lineRule="exact"/>
        <w:ind w:firstLine="548"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执行企业标准、团体标准、地方标准的产品，检验项目参照上述内容执行。</w:t>
      </w:r>
    </w:p>
    <w:p w14:paraId="0444D1E9">
      <w:pPr>
        <w:snapToGrid w:val="0"/>
        <w:spacing w:line="594" w:lineRule="exact"/>
        <w:ind w:firstLine="546" w:firstLineChars="199"/>
        <w:rPr>
          <w:rFonts w:ascii="Times New Roman" w:hAnsi="Times New Roman" w:eastAsia="仿宋_GB2312" w:cs="Times New Roman"/>
          <w:sz w:val="28"/>
          <w:szCs w:val="28"/>
        </w:rPr>
      </w:pPr>
      <w:r>
        <w:rPr>
          <w:rFonts w:ascii="Times New Roman" w:hAnsi="Times New Roman" w:eastAsia="仿宋_GB2312" w:cs="Times New Roman"/>
          <w:sz w:val="28"/>
          <w:szCs w:val="28"/>
        </w:rPr>
        <w:t>凡是注日期的文件，其随后所有的修改单（不包括勘误的内容）或修订版不适用于本细则。凡是不注日期的文件，其最新版本适用于本细则。</w:t>
      </w:r>
    </w:p>
    <w:p w14:paraId="643572D9">
      <w:pPr>
        <w:spacing w:line="594" w:lineRule="exact"/>
        <w:ind w:firstLine="548" w:firstLineChars="200"/>
        <w:rPr>
          <w:rFonts w:ascii="Times New Roman" w:hAnsi="Times New Roman" w:eastAsia="黑体" w:cs="Times New Roman"/>
          <w:sz w:val="28"/>
          <w:szCs w:val="28"/>
        </w:rPr>
      </w:pPr>
      <w:r>
        <w:rPr>
          <w:rFonts w:ascii="Times New Roman" w:hAnsi="Times New Roman" w:eastAsia="黑体" w:cs="Times New Roman"/>
          <w:sz w:val="28"/>
          <w:szCs w:val="28"/>
        </w:rPr>
        <w:t>3 判定规则</w:t>
      </w:r>
    </w:p>
    <w:p w14:paraId="40062211">
      <w:pPr>
        <w:snapToGrid w:val="0"/>
        <w:spacing w:line="594" w:lineRule="exact"/>
        <w:ind w:firstLine="548" w:firstLineChars="200"/>
        <w:rPr>
          <w:rFonts w:ascii="Times New Roman" w:hAnsi="Times New Roman" w:eastAsia="楷体_GB2312" w:cs="Times New Roman"/>
          <w:sz w:val="28"/>
          <w:szCs w:val="28"/>
        </w:rPr>
      </w:pPr>
      <w:r>
        <w:rPr>
          <w:rFonts w:ascii="Times New Roman" w:hAnsi="Times New Roman" w:eastAsia="楷体_GB2312" w:cs="Times New Roman"/>
          <w:b/>
          <w:sz w:val="28"/>
          <w:szCs w:val="28"/>
        </w:rPr>
        <w:t>3.1依据标准</w:t>
      </w:r>
    </w:p>
    <w:p w14:paraId="52F5E204">
      <w:pPr>
        <w:snapToGrid w:val="0"/>
        <w:spacing w:line="594" w:lineRule="exact"/>
        <w:ind w:firstLine="548"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GB 13511.1-2011《配装眼镜 第1部分：单光和多焦点》</w:t>
      </w:r>
    </w:p>
    <w:p w14:paraId="7C7604C9">
      <w:pPr>
        <w:snapToGrid w:val="0"/>
        <w:spacing w:line="594" w:lineRule="exact"/>
        <w:ind w:firstLine="548"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GB 10810.1-2005《眼镜片 第一部分：单光和多焦点镜片》</w:t>
      </w:r>
    </w:p>
    <w:p w14:paraId="4F1348B9">
      <w:pPr>
        <w:spacing w:line="594" w:lineRule="exact"/>
        <w:ind w:firstLine="548"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现行有效的企业标准、团体标准、地方标准及产品明示质量要求。</w:t>
      </w:r>
    </w:p>
    <w:p w14:paraId="7D18CEFE">
      <w:pPr>
        <w:snapToGrid w:val="0"/>
        <w:spacing w:line="594" w:lineRule="exact"/>
        <w:ind w:firstLine="548" w:firstLineChars="200"/>
        <w:rPr>
          <w:rFonts w:ascii="Times New Roman" w:hAnsi="Times New Roman" w:eastAsia="楷体_GB2312" w:cs="Times New Roman"/>
          <w:b/>
          <w:sz w:val="28"/>
          <w:szCs w:val="28"/>
        </w:rPr>
      </w:pPr>
      <w:r>
        <w:rPr>
          <w:rFonts w:ascii="Times New Roman" w:hAnsi="Times New Roman" w:eastAsia="楷体_GB2312" w:cs="Times New Roman"/>
          <w:b/>
          <w:sz w:val="28"/>
          <w:szCs w:val="28"/>
        </w:rPr>
        <w:t>3.2判定原则</w:t>
      </w:r>
    </w:p>
    <w:p w14:paraId="39FBE604">
      <w:pPr>
        <w:snapToGrid w:val="0"/>
        <w:spacing w:line="594" w:lineRule="exact"/>
        <w:ind w:firstLine="546" w:firstLineChars="199"/>
        <w:rPr>
          <w:rFonts w:ascii="Times New Roman" w:hAnsi="Times New Roman" w:eastAsia="仿宋_GB2312" w:cs="Times New Roman"/>
          <w:sz w:val="28"/>
          <w:szCs w:val="28"/>
        </w:rPr>
      </w:pPr>
      <w:r>
        <w:rPr>
          <w:rFonts w:ascii="Times New Roman" w:hAnsi="Times New Roman" w:eastAsia="仿宋_GB2312" w:cs="Times New Roman"/>
          <w:sz w:val="28"/>
          <w:szCs w:val="28"/>
        </w:rPr>
        <w:t>经检验，检验项目全部合格，判定为被抽查产品所检项目未发现不合格；检验项目中任一项或一项以上不合格，判定为被抽查产品不合格。</w:t>
      </w:r>
    </w:p>
    <w:p w14:paraId="0BF532E5">
      <w:pPr>
        <w:snapToGrid w:val="0"/>
        <w:spacing w:line="594" w:lineRule="exact"/>
        <w:ind w:firstLine="546" w:firstLineChars="199"/>
        <w:rPr>
          <w:rFonts w:ascii="Times New Roman" w:hAnsi="Times New Roman" w:eastAsia="仿宋_GB2312" w:cs="Times New Roman"/>
          <w:sz w:val="28"/>
          <w:szCs w:val="28"/>
        </w:rPr>
      </w:pPr>
      <w:r>
        <w:rPr>
          <w:rFonts w:ascii="Times New Roman" w:hAnsi="Times New Roman" w:eastAsia="仿宋_GB2312" w:cs="Times New Roman"/>
          <w:sz w:val="28"/>
          <w:szCs w:val="28"/>
        </w:rPr>
        <w:t>若被检产品明示的质量要求高于本细则中检验项目依据的标准要求时，应按被检产品明示的质量要求判定。</w:t>
      </w:r>
    </w:p>
    <w:p w14:paraId="78E13288">
      <w:pPr>
        <w:snapToGrid w:val="0"/>
        <w:spacing w:line="594" w:lineRule="exact"/>
        <w:ind w:firstLine="546" w:firstLineChars="199"/>
        <w:rPr>
          <w:rFonts w:ascii="Times New Roman" w:hAnsi="Times New Roman" w:eastAsia="仿宋_GB2312" w:cs="Times New Roman"/>
          <w:sz w:val="28"/>
          <w:szCs w:val="28"/>
        </w:rPr>
      </w:pPr>
      <w:r>
        <w:rPr>
          <w:rFonts w:ascii="Times New Roman" w:hAnsi="Times New Roman" w:eastAsia="仿宋_GB2312" w:cs="Times New Roman"/>
          <w:sz w:val="28"/>
          <w:szCs w:val="28"/>
        </w:rPr>
        <w:t>若被检产品明示的质量要求低于本细则中检验项目依据的强制性标准要求时，应按照强制性标准要求判定。</w:t>
      </w:r>
    </w:p>
    <w:p w14:paraId="6889506F">
      <w:pPr>
        <w:snapToGrid w:val="0"/>
        <w:spacing w:line="594" w:lineRule="exact"/>
        <w:ind w:firstLine="546" w:firstLineChars="199"/>
        <w:rPr>
          <w:rFonts w:ascii="Times New Roman" w:hAnsi="Times New Roman" w:eastAsia="仿宋_GB2312" w:cs="Times New Roman"/>
          <w:sz w:val="28"/>
          <w:szCs w:val="28"/>
        </w:rPr>
      </w:pPr>
      <w:r>
        <w:rPr>
          <w:rFonts w:ascii="Times New Roman" w:hAnsi="Times New Roman" w:eastAsia="仿宋_GB2312" w:cs="Times New Roman"/>
          <w:sz w:val="28"/>
          <w:szCs w:val="28"/>
        </w:rPr>
        <w:t>若被检产品明示的质量要求低于或包含本细则中检验项目依据的推荐性标准要求时，应以被检产品明示的质量要求判定。</w:t>
      </w:r>
    </w:p>
    <w:p w14:paraId="1F4E6FAF">
      <w:pPr>
        <w:snapToGrid w:val="0"/>
        <w:spacing w:line="594" w:lineRule="exact"/>
        <w:ind w:firstLine="546" w:firstLineChars="199"/>
        <w:rPr>
          <w:rFonts w:ascii="Times New Roman" w:hAnsi="Times New Roman" w:eastAsia="仿宋_GB2312" w:cs="Times New Roman"/>
          <w:sz w:val="28"/>
          <w:szCs w:val="28"/>
        </w:rPr>
      </w:pPr>
      <w:r>
        <w:rPr>
          <w:rFonts w:ascii="Times New Roman" w:hAnsi="Times New Roman" w:eastAsia="仿宋_GB2312" w:cs="Times New Roman"/>
          <w:sz w:val="28"/>
          <w:szCs w:val="28"/>
        </w:rPr>
        <w:t>若被检产品明示的质量要求缺少本细则中检验项目依据的强制性标准要求时，应按照强制性标准要求判定。</w:t>
      </w:r>
    </w:p>
    <w:p w14:paraId="13FB5157">
      <w:pPr>
        <w:snapToGrid w:val="0"/>
        <w:spacing w:line="594" w:lineRule="exact"/>
        <w:ind w:firstLine="546" w:firstLineChars="199"/>
        <w:rPr>
          <w:rFonts w:ascii="Times New Roman" w:hAnsi="Times New Roman" w:eastAsia="仿宋_GB2312" w:cs="Times New Roman"/>
          <w:sz w:val="28"/>
          <w:szCs w:val="28"/>
        </w:rPr>
      </w:pPr>
      <w:r>
        <w:rPr>
          <w:rFonts w:ascii="Times New Roman" w:hAnsi="Times New Roman" w:eastAsia="仿宋_GB2312" w:cs="Times New Roman"/>
          <w:sz w:val="28"/>
          <w:szCs w:val="28"/>
        </w:rPr>
        <w:t>若被检产品明示的质量要求缺少本细则中检验项目依据的推荐性标准要求时，该项目不参与判定。</w:t>
      </w:r>
    </w:p>
    <w:sectPr>
      <w:footerReference r:id="rId3" w:type="default"/>
      <w:pgSz w:w="11906" w:h="16838"/>
      <w:pgMar w:top="1984" w:right="1474" w:bottom="1361" w:left="1474" w:header="851" w:footer="1361" w:gutter="0"/>
      <w:cols w:space="0" w:num="1"/>
      <w:docGrid w:type="linesAndChars" w:linePitch="298" w:charSpace="-131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华文仿宋"/>
    <w:panose1 w:val="00000000000000000000"/>
    <w:charset w:val="86"/>
    <w:family w:val="auto"/>
    <w:pitch w:val="default"/>
    <w:sig w:usb0="00000000" w:usb1="00000000"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0000000000000000000"/>
    <w:charset w:val="86"/>
    <w:family w:val="script"/>
    <w:pitch w:val="default"/>
    <w:sig w:usb0="00000000" w:usb1="00000000" w:usb2="00000012" w:usb3="00000000" w:csb0="00040001" w:csb1="00000000"/>
  </w:font>
  <w:font w:name="Arial Unicode MS">
    <w:panose1 w:val="020B0604020202020204"/>
    <w:charset w:val="86"/>
    <w:family w:val="auto"/>
    <w:pitch w:val="default"/>
    <w:sig w:usb0="FFFFFFFF" w:usb1="E9FFFFFF" w:usb2="0000003F" w:usb3="00000000" w:csb0="603F01FF" w:csb1="FFFF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等线">
    <w:altName w:val="Arial Unicode MS"/>
    <w:panose1 w:val="00000000000000000000"/>
    <w:charset w:val="00"/>
    <w:family w:val="auto"/>
    <w:pitch w:val="default"/>
    <w:sig w:usb0="00000000" w:usb1="00000000" w:usb2="00000000" w:usb3="00000000" w:csb0="00000000" w:csb1="00000000"/>
  </w:font>
  <w:font w:name="??????">
    <w:altName w:val="Segoe Print"/>
    <w:panose1 w:val="00000000000000000000"/>
    <w:charset w:val="00"/>
    <w:family w:val="script"/>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A033E">
    <w:pPr>
      <w:pStyle w:val="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sdt>
                          <w:sdtPr>
                            <w:rPr>
                              <w:rFonts w:hint="eastAsia" w:ascii="宋体" w:hAnsi="宋体" w:eastAsia="宋体" w:cs="宋体"/>
                              <w:sz w:val="28"/>
                              <w:szCs w:val="28"/>
                            </w:rPr>
                            <w:id w:val="-1261989823"/>
                          </w:sdtPr>
                          <w:sdtEndPr>
                            <w:rPr>
                              <w:rFonts w:hint="eastAsia" w:ascii="宋体" w:hAnsi="宋体" w:eastAsia="宋体" w:cs="宋体"/>
                              <w:sz w:val="28"/>
                              <w:szCs w:val="28"/>
                            </w:rPr>
                          </w:sdtEndPr>
                          <w:sdtContent>
                            <w:p w14:paraId="24837C0A">
                              <w:pPr>
                                <w:pStyle w:val="4"/>
                                <w:ind w:left="315" w:leftChars="150" w:right="315" w:rightChars="150"/>
                                <w:jc w:val="center"/>
                                <w:rPr>
                                  <w:rFonts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PAGE   \* MERGEFORMAT</w:instrText>
                              </w:r>
                              <w:r>
                                <w:rPr>
                                  <w:rFonts w:hint="eastAsia" w:ascii="宋体" w:hAnsi="宋体" w:eastAsia="宋体" w:cs="宋体"/>
                                  <w:sz w:val="28"/>
                                  <w:szCs w:val="28"/>
                                </w:rPr>
                                <w:fldChar w:fldCharType="separate"/>
                              </w:r>
                              <w:r>
                                <w:rPr>
                                  <w:rFonts w:ascii="宋体" w:hAnsi="宋体" w:eastAsia="宋体" w:cs="宋体"/>
                                  <w:sz w:val="28"/>
                                  <w:szCs w:val="28"/>
                                  <w:lang w:val="zh-CN"/>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sdtContent>
                        </w:sdt>
                        <w:p w14:paraId="13AB3DAD">
                          <w:pPr>
                            <w:rPr>
                              <w:rFonts w:ascii="宋体" w:hAnsi="宋体" w:eastAsia="宋体" w:cs="宋体"/>
                              <w:sz w:val="28"/>
                              <w:szCs w:val="28"/>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sdt>
                    <w:sdtPr>
                      <w:rPr>
                        <w:rFonts w:hint="eastAsia" w:ascii="宋体" w:hAnsi="宋体" w:eastAsia="宋体" w:cs="宋体"/>
                        <w:sz w:val="28"/>
                        <w:szCs w:val="28"/>
                      </w:rPr>
                      <w:id w:val="-1261989823"/>
                    </w:sdtPr>
                    <w:sdtEndPr>
                      <w:rPr>
                        <w:rFonts w:hint="eastAsia" w:ascii="宋体" w:hAnsi="宋体" w:eastAsia="宋体" w:cs="宋体"/>
                        <w:sz w:val="28"/>
                        <w:szCs w:val="28"/>
                      </w:rPr>
                    </w:sdtEndPr>
                    <w:sdtContent>
                      <w:p w14:paraId="24837C0A">
                        <w:pPr>
                          <w:pStyle w:val="4"/>
                          <w:ind w:left="315" w:leftChars="150" w:right="315" w:rightChars="150"/>
                          <w:jc w:val="center"/>
                          <w:rPr>
                            <w:rFonts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PAGE   \* MERGEFORMAT</w:instrText>
                        </w:r>
                        <w:r>
                          <w:rPr>
                            <w:rFonts w:hint="eastAsia" w:ascii="宋体" w:hAnsi="宋体" w:eastAsia="宋体" w:cs="宋体"/>
                            <w:sz w:val="28"/>
                            <w:szCs w:val="28"/>
                          </w:rPr>
                          <w:fldChar w:fldCharType="separate"/>
                        </w:r>
                        <w:r>
                          <w:rPr>
                            <w:rFonts w:ascii="宋体" w:hAnsi="宋体" w:eastAsia="宋体" w:cs="宋体"/>
                            <w:sz w:val="28"/>
                            <w:szCs w:val="28"/>
                            <w:lang w:val="zh-CN"/>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sdtContent>
                  </w:sdt>
                  <w:p w14:paraId="13AB3DAD">
                    <w:pPr>
                      <w:rPr>
                        <w:rFonts w:ascii="宋体" w:hAnsi="宋体" w:eastAsia="宋体" w:cs="宋体"/>
                        <w:sz w:val="28"/>
                        <w:szCs w:val="28"/>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2"/>
  <w:drawingGridVerticalSpacing w:val="149"/>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3MWZhMTMzZmIzYWUxNTFmMDJmZDM0NWM3ZDdkNzAifQ=="/>
  </w:docVars>
  <w:rsids>
    <w:rsidRoot w:val="002720F8"/>
    <w:rsid w:val="000049CE"/>
    <w:rsid w:val="00013890"/>
    <w:rsid w:val="000232F9"/>
    <w:rsid w:val="0004524E"/>
    <w:rsid w:val="000500E0"/>
    <w:rsid w:val="000731C9"/>
    <w:rsid w:val="00077C4E"/>
    <w:rsid w:val="000A67A7"/>
    <w:rsid w:val="000C5CBE"/>
    <w:rsid w:val="000E21AE"/>
    <w:rsid w:val="000E7219"/>
    <w:rsid w:val="000E741B"/>
    <w:rsid w:val="00111EBD"/>
    <w:rsid w:val="001850A2"/>
    <w:rsid w:val="001C2564"/>
    <w:rsid w:val="001D4E92"/>
    <w:rsid w:val="001E0F6D"/>
    <w:rsid w:val="001E79D2"/>
    <w:rsid w:val="002039FE"/>
    <w:rsid w:val="00206D31"/>
    <w:rsid w:val="00224E34"/>
    <w:rsid w:val="0023233E"/>
    <w:rsid w:val="002455DC"/>
    <w:rsid w:val="00266EA3"/>
    <w:rsid w:val="00271EB5"/>
    <w:rsid w:val="002720F8"/>
    <w:rsid w:val="002A3AAD"/>
    <w:rsid w:val="002B21AB"/>
    <w:rsid w:val="002C7FF9"/>
    <w:rsid w:val="002D31C1"/>
    <w:rsid w:val="002E3C81"/>
    <w:rsid w:val="0032196E"/>
    <w:rsid w:val="003334B6"/>
    <w:rsid w:val="00333D9B"/>
    <w:rsid w:val="00366169"/>
    <w:rsid w:val="00371DAD"/>
    <w:rsid w:val="003A1AFF"/>
    <w:rsid w:val="003B55F4"/>
    <w:rsid w:val="003C52B9"/>
    <w:rsid w:val="003D605A"/>
    <w:rsid w:val="00405F99"/>
    <w:rsid w:val="004148E2"/>
    <w:rsid w:val="00432EB7"/>
    <w:rsid w:val="004356B1"/>
    <w:rsid w:val="00442AF4"/>
    <w:rsid w:val="00460019"/>
    <w:rsid w:val="00492560"/>
    <w:rsid w:val="00493CF3"/>
    <w:rsid w:val="004B2648"/>
    <w:rsid w:val="004B43A2"/>
    <w:rsid w:val="004B7761"/>
    <w:rsid w:val="004E70B3"/>
    <w:rsid w:val="004E7BBF"/>
    <w:rsid w:val="00514D35"/>
    <w:rsid w:val="00563F32"/>
    <w:rsid w:val="00580BA8"/>
    <w:rsid w:val="00581201"/>
    <w:rsid w:val="005951ED"/>
    <w:rsid w:val="005D14D4"/>
    <w:rsid w:val="005E2062"/>
    <w:rsid w:val="005F6F84"/>
    <w:rsid w:val="00602393"/>
    <w:rsid w:val="006049ED"/>
    <w:rsid w:val="00611970"/>
    <w:rsid w:val="00626EBF"/>
    <w:rsid w:val="00645A0E"/>
    <w:rsid w:val="006529B5"/>
    <w:rsid w:val="00677A07"/>
    <w:rsid w:val="006861DD"/>
    <w:rsid w:val="00690132"/>
    <w:rsid w:val="00690D3D"/>
    <w:rsid w:val="00697C39"/>
    <w:rsid w:val="006B5372"/>
    <w:rsid w:val="006C1431"/>
    <w:rsid w:val="006D0D07"/>
    <w:rsid w:val="006D0E89"/>
    <w:rsid w:val="006D11C9"/>
    <w:rsid w:val="00714FAA"/>
    <w:rsid w:val="007243A5"/>
    <w:rsid w:val="007504BE"/>
    <w:rsid w:val="00762AAE"/>
    <w:rsid w:val="00786089"/>
    <w:rsid w:val="00795BCF"/>
    <w:rsid w:val="007B216C"/>
    <w:rsid w:val="007D1A30"/>
    <w:rsid w:val="007D3664"/>
    <w:rsid w:val="007D548E"/>
    <w:rsid w:val="007E39FB"/>
    <w:rsid w:val="008479E9"/>
    <w:rsid w:val="0086138B"/>
    <w:rsid w:val="00896DB8"/>
    <w:rsid w:val="008D4A95"/>
    <w:rsid w:val="00903196"/>
    <w:rsid w:val="00924F0B"/>
    <w:rsid w:val="00966F02"/>
    <w:rsid w:val="00992192"/>
    <w:rsid w:val="009941C0"/>
    <w:rsid w:val="009D0B18"/>
    <w:rsid w:val="00A42A73"/>
    <w:rsid w:val="00A53AB1"/>
    <w:rsid w:val="00A72984"/>
    <w:rsid w:val="00AA79BD"/>
    <w:rsid w:val="00AD06A8"/>
    <w:rsid w:val="00AF2839"/>
    <w:rsid w:val="00B13F17"/>
    <w:rsid w:val="00B250D4"/>
    <w:rsid w:val="00B30457"/>
    <w:rsid w:val="00B720CC"/>
    <w:rsid w:val="00BA52A2"/>
    <w:rsid w:val="00BA6009"/>
    <w:rsid w:val="00C06925"/>
    <w:rsid w:val="00C30EF2"/>
    <w:rsid w:val="00C34866"/>
    <w:rsid w:val="00C65D36"/>
    <w:rsid w:val="00C802EA"/>
    <w:rsid w:val="00CE1036"/>
    <w:rsid w:val="00CE723C"/>
    <w:rsid w:val="00CF2F09"/>
    <w:rsid w:val="00D10A00"/>
    <w:rsid w:val="00D21ADA"/>
    <w:rsid w:val="00D36E9D"/>
    <w:rsid w:val="00D523B8"/>
    <w:rsid w:val="00DC2C32"/>
    <w:rsid w:val="00DD068E"/>
    <w:rsid w:val="00DE7E0F"/>
    <w:rsid w:val="00DF1C3D"/>
    <w:rsid w:val="00DF2639"/>
    <w:rsid w:val="00E10A0A"/>
    <w:rsid w:val="00E167CA"/>
    <w:rsid w:val="00E32F4F"/>
    <w:rsid w:val="00E44968"/>
    <w:rsid w:val="00E56919"/>
    <w:rsid w:val="00E73DDF"/>
    <w:rsid w:val="00E81F24"/>
    <w:rsid w:val="00EB737E"/>
    <w:rsid w:val="00EC63B4"/>
    <w:rsid w:val="00EC7CD0"/>
    <w:rsid w:val="00ED7784"/>
    <w:rsid w:val="00EE5575"/>
    <w:rsid w:val="00EF0FF9"/>
    <w:rsid w:val="00F03212"/>
    <w:rsid w:val="00F1388B"/>
    <w:rsid w:val="00F21862"/>
    <w:rsid w:val="00F4297A"/>
    <w:rsid w:val="00F7461A"/>
    <w:rsid w:val="00F77810"/>
    <w:rsid w:val="00F932AA"/>
    <w:rsid w:val="00FD2FD0"/>
    <w:rsid w:val="00FE7884"/>
    <w:rsid w:val="02493299"/>
    <w:rsid w:val="03633CE8"/>
    <w:rsid w:val="04AD267B"/>
    <w:rsid w:val="05BC6329"/>
    <w:rsid w:val="06A43FD8"/>
    <w:rsid w:val="07BC14E9"/>
    <w:rsid w:val="0842070D"/>
    <w:rsid w:val="091A6717"/>
    <w:rsid w:val="09AB26F3"/>
    <w:rsid w:val="09B802FA"/>
    <w:rsid w:val="0A16473A"/>
    <w:rsid w:val="0A737BCE"/>
    <w:rsid w:val="0B9C7335"/>
    <w:rsid w:val="0C090135"/>
    <w:rsid w:val="0D6D4B67"/>
    <w:rsid w:val="0E973202"/>
    <w:rsid w:val="10E109E4"/>
    <w:rsid w:val="125C277F"/>
    <w:rsid w:val="15EB6EC0"/>
    <w:rsid w:val="16943827"/>
    <w:rsid w:val="18600DA4"/>
    <w:rsid w:val="198323C6"/>
    <w:rsid w:val="1A700323"/>
    <w:rsid w:val="1A730087"/>
    <w:rsid w:val="1B8129C2"/>
    <w:rsid w:val="1E9B21E0"/>
    <w:rsid w:val="1FAB1C5D"/>
    <w:rsid w:val="21AE27D6"/>
    <w:rsid w:val="22B51B96"/>
    <w:rsid w:val="24307F76"/>
    <w:rsid w:val="24390383"/>
    <w:rsid w:val="26E525DE"/>
    <w:rsid w:val="27EA08D6"/>
    <w:rsid w:val="28322380"/>
    <w:rsid w:val="28DF507D"/>
    <w:rsid w:val="2AF62AC9"/>
    <w:rsid w:val="2CC800FD"/>
    <w:rsid w:val="2CCF54E4"/>
    <w:rsid w:val="2DD22971"/>
    <w:rsid w:val="2E191F4D"/>
    <w:rsid w:val="2E24528B"/>
    <w:rsid w:val="2E5A49E9"/>
    <w:rsid w:val="2F4468A0"/>
    <w:rsid w:val="303C557E"/>
    <w:rsid w:val="31567C67"/>
    <w:rsid w:val="31781EF3"/>
    <w:rsid w:val="32337CF4"/>
    <w:rsid w:val="32670304"/>
    <w:rsid w:val="33515BAE"/>
    <w:rsid w:val="340401A1"/>
    <w:rsid w:val="34735B9A"/>
    <w:rsid w:val="350C5A6D"/>
    <w:rsid w:val="35700906"/>
    <w:rsid w:val="36CA1D53"/>
    <w:rsid w:val="3899266B"/>
    <w:rsid w:val="392C2202"/>
    <w:rsid w:val="3A0850D6"/>
    <w:rsid w:val="3AA562B9"/>
    <w:rsid w:val="3C2D68A1"/>
    <w:rsid w:val="3E1144CF"/>
    <w:rsid w:val="402356EF"/>
    <w:rsid w:val="402925DA"/>
    <w:rsid w:val="404D13CF"/>
    <w:rsid w:val="43E4415E"/>
    <w:rsid w:val="46092A1D"/>
    <w:rsid w:val="48C570A4"/>
    <w:rsid w:val="48F07D06"/>
    <w:rsid w:val="49D8009E"/>
    <w:rsid w:val="4B5C3E2E"/>
    <w:rsid w:val="4BF210B7"/>
    <w:rsid w:val="4FAF2B08"/>
    <w:rsid w:val="4FE85C5D"/>
    <w:rsid w:val="50EB16C5"/>
    <w:rsid w:val="51447C0A"/>
    <w:rsid w:val="525B487D"/>
    <w:rsid w:val="52C35FEA"/>
    <w:rsid w:val="53226CDE"/>
    <w:rsid w:val="540A2FC9"/>
    <w:rsid w:val="54587C4A"/>
    <w:rsid w:val="55A961F2"/>
    <w:rsid w:val="56556C46"/>
    <w:rsid w:val="58D861C1"/>
    <w:rsid w:val="5B9E06DC"/>
    <w:rsid w:val="5BED2034"/>
    <w:rsid w:val="5C370E42"/>
    <w:rsid w:val="5C6B2DC6"/>
    <w:rsid w:val="5C8517D2"/>
    <w:rsid w:val="5DE60A65"/>
    <w:rsid w:val="5F777A2D"/>
    <w:rsid w:val="5F7F71A5"/>
    <w:rsid w:val="60FF5920"/>
    <w:rsid w:val="61F1381F"/>
    <w:rsid w:val="621A3C65"/>
    <w:rsid w:val="62CC1500"/>
    <w:rsid w:val="62DB05FD"/>
    <w:rsid w:val="62FA12BF"/>
    <w:rsid w:val="63435F73"/>
    <w:rsid w:val="63D51F26"/>
    <w:rsid w:val="64F10CB0"/>
    <w:rsid w:val="66571AF5"/>
    <w:rsid w:val="66965184"/>
    <w:rsid w:val="67DB3077"/>
    <w:rsid w:val="6A7348E4"/>
    <w:rsid w:val="6B326F0A"/>
    <w:rsid w:val="6C312AF9"/>
    <w:rsid w:val="6CCA2781"/>
    <w:rsid w:val="6CE1526E"/>
    <w:rsid w:val="6D1529DC"/>
    <w:rsid w:val="6F372B8E"/>
    <w:rsid w:val="6F7F3D04"/>
    <w:rsid w:val="73DFB33F"/>
    <w:rsid w:val="760E1D60"/>
    <w:rsid w:val="76135A54"/>
    <w:rsid w:val="76635DD9"/>
    <w:rsid w:val="78080052"/>
    <w:rsid w:val="789F7665"/>
    <w:rsid w:val="78B76178"/>
    <w:rsid w:val="7982627F"/>
    <w:rsid w:val="79E45269"/>
    <w:rsid w:val="7A5FEBCB"/>
    <w:rsid w:val="7ABB25BF"/>
    <w:rsid w:val="7EBC0E36"/>
    <w:rsid w:val="7FFB99E2"/>
    <w:rsid w:val="FDF9C5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Plain Text"/>
    <w:basedOn w:val="1"/>
    <w:qFormat/>
    <w:uiPriority w:val="99"/>
    <w:rPr>
      <w:rFonts w:ascii="宋体" w:hAnsi="Courier New"/>
      <w:kern w:val="0"/>
      <w:sz w:val="20"/>
      <w:szCs w:val="20"/>
    </w:rPr>
  </w:style>
  <w:style w:type="paragraph" w:styleId="3">
    <w:name w:val="Balloon Text"/>
    <w:basedOn w:val="1"/>
    <w:link w:val="20"/>
    <w:semiHidden/>
    <w:unhideWhenUsed/>
    <w:qFormat/>
    <w:uiPriority w:val="99"/>
    <w:rPr>
      <w:sz w:val="18"/>
      <w:szCs w:val="18"/>
    </w:rPr>
  </w:style>
  <w:style w:type="paragraph" w:styleId="4">
    <w:name w:val="footer"/>
    <w:basedOn w:val="1"/>
    <w:link w:val="18"/>
    <w:unhideWhenUsed/>
    <w:qFormat/>
    <w:uiPriority w:val="99"/>
    <w:pPr>
      <w:tabs>
        <w:tab w:val="center" w:pos="4153"/>
        <w:tab w:val="right" w:pos="8306"/>
      </w:tabs>
      <w:snapToGrid w:val="0"/>
      <w:jc w:val="left"/>
    </w:pPr>
    <w:rPr>
      <w:sz w:val="18"/>
      <w:szCs w:val="18"/>
    </w:rPr>
  </w:style>
  <w:style w:type="paragraph" w:styleId="5">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Indent 3"/>
    <w:basedOn w:val="1"/>
    <w:link w:val="15"/>
    <w:qFormat/>
    <w:uiPriority w:val="0"/>
    <w:pPr>
      <w:widowControl/>
      <w:autoSpaceDE w:val="0"/>
      <w:autoSpaceDN w:val="0"/>
      <w:adjustRightInd w:val="0"/>
      <w:snapToGrid w:val="0"/>
      <w:spacing w:line="600" w:lineRule="exact"/>
      <w:ind w:left="646" w:leftChars="323" w:firstLine="643" w:firstLineChars="201"/>
    </w:pPr>
    <w:rPr>
      <w:rFonts w:ascii="仿宋_GB2312" w:eastAsia="仿宋_GB2312"/>
      <w:sz w:val="32"/>
    </w:rPr>
  </w:style>
  <w:style w:type="paragraph" w:styleId="7">
    <w:name w:val="HTML Preformatted"/>
    <w:basedOn w:val="1"/>
    <w:link w:val="19"/>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qFormat/>
    <w:uiPriority w:val="99"/>
  </w:style>
  <w:style w:type="character" w:styleId="12">
    <w:name w:val="Hyperlink"/>
    <w:basedOn w:val="10"/>
    <w:semiHidden/>
    <w:unhideWhenUsed/>
    <w:qFormat/>
    <w:uiPriority w:val="99"/>
    <w:rPr>
      <w:color w:val="0000FF"/>
      <w:u w:val="single"/>
    </w:rPr>
  </w:style>
  <w:style w:type="paragraph" w:styleId="13">
    <w:name w:val="List Paragraph"/>
    <w:basedOn w:val="1"/>
    <w:qFormat/>
    <w:uiPriority w:val="34"/>
    <w:pPr>
      <w:ind w:firstLine="420" w:firstLineChars="200"/>
    </w:pPr>
  </w:style>
  <w:style w:type="paragraph" w:customStyle="1" w:styleId="14">
    <w:name w:val="17"/>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5">
    <w:name w:val="正文文本缩进 3 Char"/>
    <w:link w:val="6"/>
    <w:qFormat/>
    <w:uiPriority w:val="0"/>
    <w:rPr>
      <w:rFonts w:ascii="仿宋_GB2312" w:eastAsia="仿宋_GB2312"/>
      <w:sz w:val="32"/>
    </w:rPr>
  </w:style>
  <w:style w:type="character" w:customStyle="1" w:styleId="16">
    <w:name w:val="正文文本缩进 3 字符"/>
    <w:basedOn w:val="10"/>
    <w:semiHidden/>
    <w:qFormat/>
    <w:uiPriority w:val="99"/>
    <w:rPr>
      <w:sz w:val="16"/>
      <w:szCs w:val="16"/>
    </w:rPr>
  </w:style>
  <w:style w:type="character" w:customStyle="1" w:styleId="17">
    <w:name w:val="页眉 Char"/>
    <w:basedOn w:val="10"/>
    <w:link w:val="5"/>
    <w:qFormat/>
    <w:uiPriority w:val="99"/>
    <w:rPr>
      <w:sz w:val="18"/>
      <w:szCs w:val="18"/>
    </w:rPr>
  </w:style>
  <w:style w:type="character" w:customStyle="1" w:styleId="18">
    <w:name w:val="页脚 Char"/>
    <w:basedOn w:val="10"/>
    <w:link w:val="4"/>
    <w:qFormat/>
    <w:uiPriority w:val="99"/>
    <w:rPr>
      <w:sz w:val="18"/>
      <w:szCs w:val="18"/>
    </w:rPr>
  </w:style>
  <w:style w:type="character" w:customStyle="1" w:styleId="19">
    <w:name w:val="HTML 预设格式 Char"/>
    <w:basedOn w:val="10"/>
    <w:link w:val="7"/>
    <w:semiHidden/>
    <w:qFormat/>
    <w:uiPriority w:val="99"/>
    <w:rPr>
      <w:rFonts w:ascii="宋体" w:hAnsi="宋体" w:eastAsia="宋体" w:cs="宋体"/>
      <w:kern w:val="0"/>
      <w:sz w:val="24"/>
      <w:szCs w:val="24"/>
    </w:rPr>
  </w:style>
  <w:style w:type="character" w:customStyle="1" w:styleId="20">
    <w:name w:val="批注框文本 Char"/>
    <w:basedOn w:val="10"/>
    <w:link w:val="3"/>
    <w:semiHidden/>
    <w:qFormat/>
    <w:uiPriority w:val="99"/>
    <w:rPr>
      <w:sz w:val="18"/>
      <w:szCs w:val="18"/>
    </w:rPr>
  </w:style>
  <w:style w:type="paragraph" w:customStyle="1" w:styleId="21">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customStyle="1" w:styleId="22">
    <w:name w:val="二级无标题条"/>
    <w:basedOn w:val="1"/>
    <w:qFormat/>
    <w:uiPriority w:val="0"/>
    <w:rPr>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823</Words>
  <Characters>950</Characters>
  <Lines>7</Lines>
  <Paragraphs>2</Paragraphs>
  <TotalTime>0</TotalTime>
  <ScaleCrop>false</ScaleCrop>
  <LinksUpToDate>false</LinksUpToDate>
  <CharactersWithSpaces>961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2020-02-02T14:27:00Z</dcterms:created>
  <dc:creator>USER</dc:creator>
  <cp:lastModifiedBy>WPS_1648724409</cp:lastModifiedBy>
  <cp:lastPrinted>2020-02-06T02:38:00Z</cp:lastPrinted>
  <dcterms:modified xsi:type="dcterms:W3CDTF">2025-05-13T03:34:13Z</dcterms:modified>
  <dc:title>市场监管总局关于开展口罩产品质量监督专项抽查有关工作的通知</dc:title>
  <cp:revision>113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8FD292F5ADD74753A7D29B7E007EB08D</vt:lpwstr>
  </property>
  <property fmtid="{D5CDD505-2E9C-101B-9397-08002B2CF9AE}" pid="4" name="KSOTemplateDocerSaveRecord">
    <vt:lpwstr>eyJoZGlkIjoiN2NhZWMzODZiYjNjYTZiZTY2ZWY1YWMxNmVmY2IwODgiLCJ1c2VySWQiOiIxMzU1NDY0NDI1In0=</vt:lpwstr>
  </property>
</Properties>
</file>